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A627" w14:textId="22DE6E2B" w:rsidR="00CC390F" w:rsidRDefault="00CC390F" w:rsidP="00DE41E8">
      <w:pPr>
        <w:pStyle w:val="BodyText"/>
        <w:jc w:val="center"/>
        <w:rPr>
          <w:rFonts w:ascii="Arial Black" w:hAnsi="Arial Black"/>
          <w:sz w:val="24"/>
          <w:szCs w:val="24"/>
        </w:rPr>
      </w:pPr>
      <w:bookmarkStart w:id="0" w:name="_Toc48311301"/>
      <w:r w:rsidRPr="00CC390F">
        <w:rPr>
          <w:rFonts w:ascii="Arial Black" w:hAnsi="Arial Black"/>
          <w:sz w:val="24"/>
          <w:szCs w:val="24"/>
        </w:rPr>
        <w:drawing>
          <wp:inline distT="0" distB="0" distL="0" distR="0" wp14:anchorId="3900E266" wp14:editId="7FFE9582">
            <wp:extent cx="2324100" cy="750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71832" cy="765904"/>
                    </a:xfrm>
                    <a:prstGeom prst="rect">
                      <a:avLst/>
                    </a:prstGeom>
                  </pic:spPr>
                </pic:pic>
              </a:graphicData>
            </a:graphic>
          </wp:inline>
        </w:drawing>
      </w:r>
    </w:p>
    <w:p w14:paraId="11D8CFAC" w14:textId="08234CD8" w:rsidR="00CC390F" w:rsidRPr="00CC390F" w:rsidRDefault="00CC390F" w:rsidP="00CC390F">
      <w:pPr>
        <w:pStyle w:val="BodyText"/>
        <w:jc w:val="center"/>
        <w:rPr>
          <w:rFonts w:ascii="Arial Black" w:hAnsi="Arial Black"/>
          <w:sz w:val="24"/>
          <w:szCs w:val="24"/>
        </w:rPr>
      </w:pPr>
      <w:r w:rsidRPr="00CC390F">
        <w:rPr>
          <w:rFonts w:ascii="Arial Black" w:hAnsi="Arial Black"/>
          <w:sz w:val="24"/>
          <w:szCs w:val="24"/>
        </w:rPr>
        <w:t>TRANSFER OF CREDITS</w:t>
      </w:r>
      <w:bookmarkEnd w:id="0"/>
    </w:p>
    <w:p w14:paraId="45A3A398" w14:textId="77777777" w:rsidR="00CC390F" w:rsidRPr="00D231DC" w:rsidRDefault="00CC390F" w:rsidP="00CC390F">
      <w:pPr>
        <w:rPr>
          <w:rFonts w:asciiTheme="minorHAnsi" w:hAnsiTheme="minorHAnsi" w:cstheme="minorHAnsi"/>
          <w:sz w:val="18"/>
          <w:szCs w:val="18"/>
        </w:rPr>
      </w:pPr>
    </w:p>
    <w:p w14:paraId="31C7DB35" w14:textId="1B463BF9" w:rsidR="00CC390F" w:rsidRPr="00CC390F" w:rsidRDefault="00CC390F" w:rsidP="00CC390F">
      <w:pPr>
        <w:rPr>
          <w:rFonts w:asciiTheme="minorHAnsi" w:hAnsiTheme="minorHAnsi" w:cstheme="minorHAnsi"/>
          <w:sz w:val="24"/>
          <w:szCs w:val="24"/>
        </w:rPr>
      </w:pPr>
      <w:r w:rsidRPr="00CC390F">
        <w:rPr>
          <w:rFonts w:asciiTheme="minorHAnsi" w:hAnsiTheme="minorHAnsi" w:cstheme="minorHAnsi"/>
          <w:sz w:val="24"/>
          <w:szCs w:val="24"/>
        </w:rPr>
        <w:t>Students transferring to Carlow from other institutions may have up to 90 credits accepted. A grade of C or higher must have been earned. Courses taken for pass/fail or</w:t>
      </w:r>
      <w:r>
        <w:rPr>
          <w:rFonts w:asciiTheme="minorHAnsi" w:hAnsiTheme="minorHAnsi" w:cstheme="minorHAnsi"/>
          <w:sz w:val="24"/>
          <w:szCs w:val="24"/>
        </w:rPr>
        <w:t xml:space="preserve"> </w:t>
      </w:r>
      <w:r w:rsidRPr="00CC390F">
        <w:rPr>
          <w:rFonts w:asciiTheme="minorHAnsi" w:hAnsiTheme="minorHAnsi" w:cstheme="minorHAnsi"/>
          <w:sz w:val="24"/>
          <w:szCs w:val="24"/>
        </w:rPr>
        <w:t>satisfactory/unsatisfactory grades may only be transferred if it can be verified that a pass or satisfactory grade is equivalent to a C or higher. Only the credit is transferred, not the grade. A   transfer evaluation will be done after a student is accepted and after all transcripts have been received. It is the responsibility of the student to obtain the course descriptions or syllabi for courses when requested.</w:t>
      </w:r>
    </w:p>
    <w:p w14:paraId="5B3143B0" w14:textId="77777777" w:rsidR="00CC390F" w:rsidRPr="00CC390F" w:rsidRDefault="00CC390F" w:rsidP="00CC390F">
      <w:pPr>
        <w:rPr>
          <w:rFonts w:asciiTheme="minorHAnsi" w:hAnsiTheme="minorHAnsi" w:cstheme="minorHAnsi"/>
          <w:sz w:val="24"/>
          <w:szCs w:val="24"/>
        </w:rPr>
      </w:pPr>
    </w:p>
    <w:p w14:paraId="0BFEA310" w14:textId="77777777" w:rsidR="00CC390F" w:rsidRPr="00CC390F" w:rsidRDefault="00CC390F" w:rsidP="00CC390F">
      <w:pPr>
        <w:rPr>
          <w:rFonts w:asciiTheme="minorHAnsi" w:hAnsiTheme="minorHAnsi" w:cstheme="minorHAnsi"/>
          <w:sz w:val="24"/>
          <w:szCs w:val="24"/>
        </w:rPr>
      </w:pPr>
      <w:r w:rsidRPr="00CC390F">
        <w:rPr>
          <w:rFonts w:asciiTheme="minorHAnsi" w:hAnsiTheme="minorHAnsi" w:cstheme="minorHAnsi"/>
          <w:sz w:val="24"/>
          <w:szCs w:val="24"/>
        </w:rPr>
        <w:t>Once a student matriculates at Carlow University, the student must have permission from the faculty advisor and the Office of the Registrar prior to beginning a class at another institution. Students may be permitted to transfer a maximum of four classes or sixteen (16) credits from other universities, exclusive of cross-registration. The student is also responsible for requesting that the registrar at the host institution forward an official transcript to the Office of the Registrar at Carlow University. Credit will not be accepted for a course if a student has not obtained formal permission from the advisor and university registrar/transfer coordinator to take the course. Appropriate forms are available in the Student Hub and on the Portal.</w:t>
      </w:r>
    </w:p>
    <w:p w14:paraId="42C25469" w14:textId="77777777" w:rsidR="00CC390F" w:rsidRPr="00CC390F" w:rsidRDefault="00CC390F" w:rsidP="00CC390F">
      <w:pPr>
        <w:rPr>
          <w:rFonts w:asciiTheme="minorHAnsi" w:hAnsiTheme="minorHAnsi" w:cstheme="minorHAnsi"/>
          <w:sz w:val="24"/>
          <w:szCs w:val="24"/>
        </w:rPr>
      </w:pPr>
    </w:p>
    <w:p w14:paraId="342D1171" w14:textId="77777777" w:rsidR="00CC390F" w:rsidRPr="00CC390F" w:rsidRDefault="00CC390F" w:rsidP="00CC390F">
      <w:pPr>
        <w:rPr>
          <w:rFonts w:asciiTheme="minorHAnsi" w:hAnsiTheme="minorHAnsi" w:cstheme="minorHAnsi"/>
          <w:sz w:val="24"/>
          <w:szCs w:val="24"/>
        </w:rPr>
      </w:pPr>
      <w:r w:rsidRPr="00CC390F">
        <w:rPr>
          <w:rFonts w:asciiTheme="minorHAnsi" w:hAnsiTheme="minorHAnsi" w:cstheme="minorHAnsi"/>
          <w:sz w:val="24"/>
          <w:szCs w:val="24"/>
        </w:rPr>
        <w:t xml:space="preserve">Students may be awarded credits for vocational/technical programs of study. In the event a student qualifies for a technical block award, the credits can be used as elective credit only and may not be used as equivalent coursework in any of </w:t>
      </w:r>
      <w:proofErr w:type="spellStart"/>
      <w:r w:rsidRPr="00CC390F">
        <w:rPr>
          <w:rFonts w:asciiTheme="minorHAnsi" w:hAnsiTheme="minorHAnsi" w:cstheme="minorHAnsi"/>
          <w:sz w:val="24"/>
          <w:szCs w:val="24"/>
        </w:rPr>
        <w:t>Carlow’s</w:t>
      </w:r>
      <w:proofErr w:type="spellEnd"/>
      <w:r w:rsidRPr="00CC390F">
        <w:rPr>
          <w:rFonts w:asciiTheme="minorHAnsi" w:hAnsiTheme="minorHAnsi" w:cstheme="minorHAnsi"/>
          <w:sz w:val="24"/>
          <w:szCs w:val="24"/>
        </w:rPr>
        <w:t xml:space="preserve"> academic programs or in fulfillment of any academic requirement. Coursework taken in vocational and technical programs   of study is subject to the same transfer policies as other college level coursework.</w:t>
      </w:r>
    </w:p>
    <w:p w14:paraId="4002F8F6" w14:textId="77777777" w:rsidR="00CC390F" w:rsidRPr="00CC390F" w:rsidRDefault="00CC390F" w:rsidP="00CC390F">
      <w:pPr>
        <w:rPr>
          <w:rFonts w:asciiTheme="minorHAnsi" w:hAnsiTheme="minorHAnsi" w:cstheme="minorHAnsi"/>
          <w:sz w:val="24"/>
          <w:szCs w:val="24"/>
        </w:rPr>
      </w:pPr>
    </w:p>
    <w:p w14:paraId="0FCFCA9B" w14:textId="4D15D832" w:rsidR="003950F9" w:rsidRPr="00CC390F" w:rsidRDefault="00CC390F" w:rsidP="00CC390F">
      <w:pPr>
        <w:rPr>
          <w:sz w:val="24"/>
          <w:szCs w:val="24"/>
        </w:rPr>
      </w:pPr>
      <w:r w:rsidRPr="00CC390F">
        <w:rPr>
          <w:rFonts w:asciiTheme="minorHAnsi" w:hAnsiTheme="minorHAnsi" w:cstheme="minorHAnsi"/>
          <w:sz w:val="24"/>
          <w:szCs w:val="24"/>
        </w:rPr>
        <w:t>Carlow University makes no promises about the transferability of its credits to another institution of higher education. Transferability of credits is determined exclusively by each receiving institution. Typical considerations involve accreditation guidelines, whether the course substitutes for a course in the curriculum at the other institution, whether the student received a certain grade or better, how long ago the course was taken, how many credits the student seeks to transfer, and other factors. Students who plan to transfer credits from Carlow can check with the registrar to see if there is an affiliation agreement in place and check with the other institution to learn about their policies regarding transfer of credits before taking the courses.</w:t>
      </w:r>
    </w:p>
    <w:sectPr w:rsidR="003950F9" w:rsidRPr="00CC3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54"/>
    <w:rsid w:val="003950F9"/>
    <w:rsid w:val="00621454"/>
    <w:rsid w:val="00CC390F"/>
    <w:rsid w:val="00DE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AD54"/>
  <w15:chartTrackingRefBased/>
  <w15:docId w15:val="{106AB63B-FF00-449D-95E6-3FB7F29F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390F"/>
    <w:pPr>
      <w:widowControl w:val="0"/>
      <w:autoSpaceDE w:val="0"/>
      <w:autoSpaceDN w:val="0"/>
      <w:spacing w:after="0" w:line="240" w:lineRule="auto"/>
    </w:pPr>
    <w:rPr>
      <w:rFonts w:ascii="Calibri" w:eastAsia="Calibri" w:hAnsi="Calibri" w:cs="Calibri"/>
    </w:rPr>
  </w:style>
  <w:style w:type="paragraph" w:styleId="Heading3">
    <w:name w:val="heading 3"/>
    <w:basedOn w:val="Normal"/>
    <w:link w:val="Heading3Char"/>
    <w:uiPriority w:val="1"/>
    <w:qFormat/>
    <w:rsid w:val="00621454"/>
    <w:pPr>
      <w:ind w:left="144"/>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21454"/>
    <w:rPr>
      <w:rFonts w:ascii="Calibri" w:eastAsia="Calibri" w:hAnsi="Calibri" w:cs="Calibri"/>
      <w:b/>
      <w:bCs/>
      <w:sz w:val="17"/>
      <w:szCs w:val="17"/>
    </w:rPr>
  </w:style>
  <w:style w:type="paragraph" w:styleId="BodyText">
    <w:name w:val="Body Text"/>
    <w:basedOn w:val="Normal"/>
    <w:link w:val="BodyTextChar"/>
    <w:uiPriority w:val="1"/>
    <w:qFormat/>
    <w:rsid w:val="00621454"/>
    <w:rPr>
      <w:sz w:val="17"/>
      <w:szCs w:val="17"/>
    </w:rPr>
  </w:style>
  <w:style w:type="character" w:customStyle="1" w:styleId="BodyTextChar">
    <w:name w:val="Body Text Char"/>
    <w:basedOn w:val="DefaultParagraphFont"/>
    <w:link w:val="BodyText"/>
    <w:uiPriority w:val="1"/>
    <w:rsid w:val="00621454"/>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Carlow University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 McClintock</dc:creator>
  <cp:keywords/>
  <dc:description/>
  <cp:lastModifiedBy>McClintock, Elizabeth</cp:lastModifiedBy>
  <cp:revision>3</cp:revision>
  <dcterms:created xsi:type="dcterms:W3CDTF">2020-09-03T16:02:00Z</dcterms:created>
  <dcterms:modified xsi:type="dcterms:W3CDTF">2020-09-03T16:03:00Z</dcterms:modified>
</cp:coreProperties>
</file>